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BAF65" w14:textId="77777777" w:rsidR="00851660" w:rsidRPr="00851660" w:rsidRDefault="00851660" w:rsidP="00851660">
      <w:pPr>
        <w:pStyle w:val="Header"/>
        <w:rPr>
          <w:sz w:val="20"/>
          <w:szCs w:val="20"/>
        </w:rPr>
      </w:pPr>
      <w:r w:rsidRPr="00851660">
        <w:rPr>
          <w:noProof/>
          <w:sz w:val="20"/>
          <w:szCs w:val="20"/>
          <w:lang w:val="en-US"/>
        </w:rPr>
        <w:drawing>
          <wp:inline distT="0" distB="0" distL="0" distR="0" wp14:anchorId="1D6F2498" wp14:editId="4BDB9AFB">
            <wp:extent cx="5855970" cy="810895"/>
            <wp:effectExtent l="19050" t="0" r="0" b="0"/>
            <wp:docPr id="1" name="Picture 1" descr="Communique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que_e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97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74766E" w14:textId="77777777" w:rsidR="00851660" w:rsidRPr="00851660" w:rsidRDefault="00851660" w:rsidP="00851660">
      <w:pPr>
        <w:pStyle w:val="Heading2"/>
        <w:jc w:val="left"/>
        <w:rPr>
          <w:rFonts w:ascii="Arial Black" w:hAnsi="Arial Black"/>
          <w:sz w:val="20"/>
          <w:szCs w:val="20"/>
          <w:lang w:val="en-CA"/>
        </w:rPr>
      </w:pPr>
    </w:p>
    <w:tbl>
      <w:tblPr>
        <w:tblW w:w="0" w:type="auto"/>
        <w:tblInd w:w="108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8"/>
        <w:gridCol w:w="5102"/>
      </w:tblGrid>
      <w:tr w:rsidR="00851660" w:rsidRPr="00851660" w14:paraId="15D15555" w14:textId="77777777" w:rsidTr="00BF42DE">
        <w:tc>
          <w:tcPr>
            <w:tcW w:w="4258" w:type="dxa"/>
            <w:vAlign w:val="center"/>
          </w:tcPr>
          <w:p w14:paraId="57F03167" w14:textId="77777777" w:rsidR="00851660" w:rsidRPr="00851660" w:rsidRDefault="00851660" w:rsidP="00BF42D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  <w:szCs w:val="20"/>
              </w:rPr>
            </w:pPr>
            <w:r w:rsidRPr="00851660">
              <w:rPr>
                <w:rStyle w:val="Strong"/>
                <w:rFonts w:cs="Arial"/>
                <w:sz w:val="20"/>
                <w:szCs w:val="20"/>
              </w:rPr>
              <w:br/>
              <w:t>MEDIA ADVISORY</w:t>
            </w:r>
            <w:r w:rsidRPr="00851660">
              <w:rPr>
                <w:rStyle w:val="Strong"/>
                <w:rFonts w:cs="Arial"/>
                <w:sz w:val="20"/>
                <w:szCs w:val="20"/>
              </w:rPr>
              <w:br/>
            </w:r>
          </w:p>
        </w:tc>
        <w:tc>
          <w:tcPr>
            <w:tcW w:w="5102" w:type="dxa"/>
            <w:vAlign w:val="center"/>
          </w:tcPr>
          <w:p w14:paraId="34A41549" w14:textId="5CEDF523" w:rsidR="00851660" w:rsidRPr="00851660" w:rsidRDefault="0093114B" w:rsidP="00BF42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June 27</w:t>
            </w:r>
            <w:r w:rsidR="00E41BC2">
              <w:rPr>
                <w:b/>
                <w:bCs/>
                <w:sz w:val="20"/>
                <w:szCs w:val="20"/>
              </w:rPr>
              <w:t>, 2018</w:t>
            </w:r>
          </w:p>
        </w:tc>
      </w:tr>
    </w:tbl>
    <w:p w14:paraId="30914E3D" w14:textId="560C7C96" w:rsidR="00A746F5" w:rsidRPr="00A746F5" w:rsidRDefault="00EF5B0C" w:rsidP="00E41BC2">
      <w:pPr>
        <w:pStyle w:val="NormalWeb"/>
        <w:ind w:right="-720"/>
        <w:jc w:val="center"/>
        <w:rPr>
          <w:rFonts w:ascii="Arial" w:hAnsi="Arial" w:cs="Arial"/>
          <w:i/>
          <w:sz w:val="20"/>
          <w:szCs w:val="20"/>
          <w:lang w:val="en-US"/>
        </w:rPr>
      </w:pPr>
      <w:r>
        <w:rPr>
          <w:rStyle w:val="Strong"/>
          <w:rFonts w:ascii="Arial" w:hAnsi="Arial" w:cs="Arial"/>
          <w:sz w:val="28"/>
          <w:szCs w:val="28"/>
        </w:rPr>
        <w:t xml:space="preserve">CUPE </w:t>
      </w:r>
      <w:r w:rsidR="0093114B">
        <w:rPr>
          <w:rStyle w:val="Strong"/>
          <w:rFonts w:ascii="Arial" w:hAnsi="Arial" w:cs="Arial"/>
          <w:sz w:val="28"/>
          <w:szCs w:val="28"/>
        </w:rPr>
        <w:t>meets with Minister of Labour to establish common ground</w:t>
      </w:r>
    </w:p>
    <w:p w14:paraId="32739902" w14:textId="3CB56EBA" w:rsidR="0093114B" w:rsidRPr="0093114B" w:rsidRDefault="0093114B" w:rsidP="0093114B">
      <w:pPr>
        <w:rPr>
          <w:sz w:val="20"/>
          <w:szCs w:val="20"/>
        </w:rPr>
      </w:pPr>
      <w:r w:rsidRPr="0093114B">
        <w:rPr>
          <w:sz w:val="20"/>
          <w:szCs w:val="20"/>
        </w:rPr>
        <w:t>CUPE NS President Nan McFadgen along with senior CUPE staff met with Minister of Labour Mark Furey yesterday to highlight the work CUPE members are doing in the province an</w:t>
      </w:r>
      <w:r w:rsidR="00956644">
        <w:rPr>
          <w:sz w:val="20"/>
          <w:szCs w:val="20"/>
        </w:rPr>
        <w:t>d to establish neutral</w:t>
      </w:r>
      <w:r w:rsidRPr="0093114B">
        <w:rPr>
          <w:sz w:val="20"/>
          <w:szCs w:val="20"/>
        </w:rPr>
        <w:t xml:space="preserve"> ground on which to work together on common interests.</w:t>
      </w:r>
    </w:p>
    <w:p w14:paraId="17C19FEB" w14:textId="77777777" w:rsidR="0093114B" w:rsidRPr="0093114B" w:rsidRDefault="0093114B" w:rsidP="0093114B">
      <w:pPr>
        <w:rPr>
          <w:sz w:val="20"/>
          <w:szCs w:val="20"/>
        </w:rPr>
      </w:pPr>
    </w:p>
    <w:p w14:paraId="7A20CB11" w14:textId="77777777" w:rsidR="0093114B" w:rsidRPr="0093114B" w:rsidRDefault="0093114B" w:rsidP="0093114B">
      <w:pPr>
        <w:rPr>
          <w:sz w:val="20"/>
          <w:szCs w:val="20"/>
        </w:rPr>
      </w:pPr>
      <w:r w:rsidRPr="0093114B">
        <w:rPr>
          <w:sz w:val="20"/>
          <w:szCs w:val="20"/>
        </w:rPr>
        <w:t>Both sides agreed that better communications, resources and timing could help resolve issues, especially in health care where reorganization has resulted in a lot of change and stress for employees.</w:t>
      </w:r>
    </w:p>
    <w:p w14:paraId="571B3D11" w14:textId="77777777" w:rsidR="0093114B" w:rsidRPr="0093114B" w:rsidRDefault="0093114B" w:rsidP="0093114B">
      <w:pPr>
        <w:rPr>
          <w:sz w:val="20"/>
          <w:szCs w:val="20"/>
        </w:rPr>
      </w:pPr>
    </w:p>
    <w:p w14:paraId="4B02929C" w14:textId="77777777" w:rsidR="0093114B" w:rsidRPr="0093114B" w:rsidRDefault="0093114B" w:rsidP="0093114B">
      <w:pPr>
        <w:rPr>
          <w:sz w:val="20"/>
          <w:szCs w:val="20"/>
        </w:rPr>
      </w:pPr>
      <w:r w:rsidRPr="0093114B">
        <w:rPr>
          <w:sz w:val="20"/>
          <w:szCs w:val="20"/>
        </w:rPr>
        <w:t>During the meeting McFadgen asked Minister Furey if his government would partner with the union on a recruitment and retention strategy for long term care and home care. McFadgen pointed out that staff shortages in this sector were resulting in a tremendous amount of overtime at a high cost to government as well as to workers’ health and patient care.</w:t>
      </w:r>
    </w:p>
    <w:p w14:paraId="3CBF57EB" w14:textId="77777777" w:rsidR="0093114B" w:rsidRPr="0093114B" w:rsidRDefault="0093114B" w:rsidP="0093114B">
      <w:pPr>
        <w:rPr>
          <w:sz w:val="20"/>
          <w:szCs w:val="20"/>
        </w:rPr>
      </w:pPr>
    </w:p>
    <w:p w14:paraId="139CA5C5" w14:textId="58D2C0F3" w:rsidR="0093114B" w:rsidRPr="0093114B" w:rsidRDefault="0093114B" w:rsidP="0093114B">
      <w:pPr>
        <w:rPr>
          <w:sz w:val="20"/>
          <w:szCs w:val="20"/>
        </w:rPr>
      </w:pPr>
      <w:r w:rsidRPr="0093114B">
        <w:rPr>
          <w:sz w:val="20"/>
          <w:szCs w:val="20"/>
        </w:rPr>
        <w:t xml:space="preserve">“Our members in long term care and home care are stressed, overworked and getting sick as a result,” said McFadgen. “Some work 12 to 18 hour days </w:t>
      </w:r>
      <w:r w:rsidR="0084249A">
        <w:rPr>
          <w:sz w:val="20"/>
          <w:szCs w:val="20"/>
        </w:rPr>
        <w:t>and</w:t>
      </w:r>
      <w:r w:rsidRPr="0093114B">
        <w:rPr>
          <w:sz w:val="20"/>
          <w:szCs w:val="20"/>
        </w:rPr>
        <w:t xml:space="preserve"> have mandatory overtime. Many are not able to take their vaca</w:t>
      </w:r>
      <w:r w:rsidR="003E229D">
        <w:rPr>
          <w:sz w:val="20"/>
          <w:szCs w:val="20"/>
        </w:rPr>
        <w:t>tions</w:t>
      </w:r>
      <w:r w:rsidR="0084249A">
        <w:rPr>
          <w:sz w:val="20"/>
          <w:szCs w:val="20"/>
        </w:rPr>
        <w:t>. Home support workers often</w:t>
      </w:r>
      <w:bookmarkStart w:id="0" w:name="_GoBack"/>
      <w:bookmarkEnd w:id="0"/>
      <w:r w:rsidR="0084249A">
        <w:rPr>
          <w:sz w:val="20"/>
          <w:szCs w:val="20"/>
        </w:rPr>
        <w:t xml:space="preserve"> have several split shifts in one 12-hour period, yet only get paid for six or seven hours.</w:t>
      </w:r>
      <w:r w:rsidRPr="0093114B">
        <w:rPr>
          <w:sz w:val="20"/>
          <w:szCs w:val="20"/>
        </w:rPr>
        <w:t xml:space="preserve">” </w:t>
      </w:r>
    </w:p>
    <w:p w14:paraId="7B903068" w14:textId="77777777" w:rsidR="0093114B" w:rsidRPr="0093114B" w:rsidRDefault="0093114B" w:rsidP="0093114B">
      <w:pPr>
        <w:rPr>
          <w:sz w:val="20"/>
          <w:szCs w:val="20"/>
        </w:rPr>
      </w:pPr>
    </w:p>
    <w:p w14:paraId="659E0EAC" w14:textId="2B3D6870" w:rsidR="0093114B" w:rsidRPr="0093114B" w:rsidRDefault="0093114B" w:rsidP="0093114B">
      <w:pPr>
        <w:rPr>
          <w:sz w:val="20"/>
          <w:szCs w:val="20"/>
        </w:rPr>
      </w:pPr>
      <w:r w:rsidRPr="0093114B">
        <w:rPr>
          <w:sz w:val="20"/>
          <w:szCs w:val="20"/>
        </w:rPr>
        <w:t xml:space="preserve">McFadgen pointed out that financial incentives are needed to encourage people to take the training. “It costs $7-8000 to take the </w:t>
      </w:r>
      <w:r w:rsidR="0084249A">
        <w:rPr>
          <w:sz w:val="20"/>
          <w:szCs w:val="20"/>
        </w:rPr>
        <w:t>continuing care assistant (</w:t>
      </w:r>
      <w:r w:rsidR="00956644">
        <w:rPr>
          <w:sz w:val="20"/>
          <w:szCs w:val="20"/>
        </w:rPr>
        <w:t>CCA</w:t>
      </w:r>
      <w:r w:rsidR="0084249A">
        <w:rPr>
          <w:sz w:val="20"/>
          <w:szCs w:val="20"/>
        </w:rPr>
        <w:t>)</w:t>
      </w:r>
      <w:r w:rsidRPr="0093114B">
        <w:rPr>
          <w:sz w:val="20"/>
          <w:szCs w:val="20"/>
        </w:rPr>
        <w:t xml:space="preserve"> course. Many people who would like to work in this field, which is mostly women, simply can’t afford that.</w:t>
      </w:r>
    </w:p>
    <w:p w14:paraId="7BA5D74A" w14:textId="77777777" w:rsidR="0093114B" w:rsidRPr="0093114B" w:rsidRDefault="0093114B" w:rsidP="0093114B">
      <w:pPr>
        <w:rPr>
          <w:sz w:val="20"/>
          <w:szCs w:val="20"/>
        </w:rPr>
      </w:pPr>
    </w:p>
    <w:p w14:paraId="244126EC" w14:textId="77777777" w:rsidR="0093114B" w:rsidRPr="0093114B" w:rsidRDefault="0093114B" w:rsidP="0093114B">
      <w:pPr>
        <w:rPr>
          <w:sz w:val="20"/>
          <w:szCs w:val="20"/>
        </w:rPr>
      </w:pPr>
      <w:r w:rsidRPr="0093114B">
        <w:rPr>
          <w:sz w:val="20"/>
          <w:szCs w:val="20"/>
        </w:rPr>
        <w:t>“This is a rapidly growing sector and the need for recruitment and retention is urgent,” she added.</w:t>
      </w:r>
    </w:p>
    <w:p w14:paraId="727EFB15" w14:textId="77777777" w:rsidR="0093114B" w:rsidRPr="0093114B" w:rsidRDefault="0093114B" w:rsidP="0093114B">
      <w:pPr>
        <w:rPr>
          <w:sz w:val="20"/>
          <w:szCs w:val="20"/>
        </w:rPr>
      </w:pPr>
    </w:p>
    <w:p w14:paraId="0C733C2F" w14:textId="64421B94" w:rsidR="0093114B" w:rsidRDefault="005F5BFB" w:rsidP="0093114B">
      <w:pPr>
        <w:rPr>
          <w:sz w:val="20"/>
          <w:szCs w:val="20"/>
        </w:rPr>
      </w:pPr>
      <w:r>
        <w:rPr>
          <w:sz w:val="20"/>
          <w:szCs w:val="20"/>
        </w:rPr>
        <w:t>Louise Riley, chair of CUPE’s Long Term Care Co-ordinating Committee</w:t>
      </w:r>
      <w:r w:rsidR="00C0321A">
        <w:rPr>
          <w:sz w:val="20"/>
          <w:szCs w:val="20"/>
        </w:rPr>
        <w:t>, wa</w:t>
      </w:r>
      <w:r w:rsidR="0093114B" w:rsidRPr="0093114B">
        <w:rPr>
          <w:sz w:val="20"/>
          <w:szCs w:val="20"/>
        </w:rPr>
        <w:t>s pleased</w:t>
      </w:r>
      <w:r w:rsidR="00C0321A">
        <w:rPr>
          <w:sz w:val="20"/>
          <w:szCs w:val="20"/>
        </w:rPr>
        <w:t xml:space="preserve"> to hear that</w:t>
      </w:r>
      <w:r w:rsidR="0093114B" w:rsidRPr="0093114B">
        <w:rPr>
          <w:sz w:val="20"/>
          <w:szCs w:val="20"/>
        </w:rPr>
        <w:t xml:space="preserve"> the minister agreed to </w:t>
      </w:r>
      <w:r w:rsidR="00905259">
        <w:rPr>
          <w:sz w:val="20"/>
          <w:szCs w:val="20"/>
        </w:rPr>
        <w:t xml:space="preserve">discuss CCA </w:t>
      </w:r>
      <w:r w:rsidR="0093114B" w:rsidRPr="0093114B">
        <w:rPr>
          <w:sz w:val="20"/>
          <w:szCs w:val="20"/>
        </w:rPr>
        <w:t>recruitment</w:t>
      </w:r>
      <w:r w:rsidR="00905259">
        <w:rPr>
          <w:sz w:val="20"/>
          <w:szCs w:val="20"/>
        </w:rPr>
        <w:t xml:space="preserve"> initiatives with</w:t>
      </w:r>
      <w:r w:rsidR="002D2464">
        <w:rPr>
          <w:sz w:val="20"/>
          <w:szCs w:val="20"/>
        </w:rPr>
        <w:t xml:space="preserve"> other</w:t>
      </w:r>
      <w:r w:rsidR="00905259">
        <w:rPr>
          <w:sz w:val="20"/>
          <w:szCs w:val="20"/>
        </w:rPr>
        <w:t xml:space="preserve"> government departments</w:t>
      </w:r>
      <w:r w:rsidR="00C0321A">
        <w:rPr>
          <w:sz w:val="20"/>
          <w:szCs w:val="20"/>
        </w:rPr>
        <w:t>.</w:t>
      </w:r>
    </w:p>
    <w:p w14:paraId="3D8B0809" w14:textId="77777777" w:rsidR="00C0321A" w:rsidRDefault="00C0321A" w:rsidP="0093114B">
      <w:pPr>
        <w:rPr>
          <w:sz w:val="20"/>
          <w:szCs w:val="20"/>
        </w:rPr>
      </w:pPr>
    </w:p>
    <w:p w14:paraId="19C01950" w14:textId="072DE88A" w:rsidR="00C0321A" w:rsidRDefault="00C0321A" w:rsidP="0093114B">
      <w:pPr>
        <w:rPr>
          <w:sz w:val="20"/>
          <w:szCs w:val="20"/>
        </w:rPr>
      </w:pPr>
      <w:r>
        <w:rPr>
          <w:sz w:val="20"/>
          <w:szCs w:val="20"/>
        </w:rPr>
        <w:t>“This would be a very important initiative for this government and I look forward to continuing discussions,” she said.</w:t>
      </w:r>
    </w:p>
    <w:p w14:paraId="4638AC11" w14:textId="77777777" w:rsidR="00C0321A" w:rsidRDefault="00C0321A" w:rsidP="0093114B">
      <w:pPr>
        <w:rPr>
          <w:sz w:val="20"/>
          <w:szCs w:val="20"/>
        </w:rPr>
      </w:pPr>
    </w:p>
    <w:p w14:paraId="073E99E1" w14:textId="15B496FA" w:rsidR="00C0321A" w:rsidRPr="0093114B" w:rsidRDefault="00C0321A" w:rsidP="0093114B">
      <w:pPr>
        <w:rPr>
          <w:sz w:val="20"/>
          <w:szCs w:val="20"/>
        </w:rPr>
      </w:pPr>
      <w:r>
        <w:rPr>
          <w:sz w:val="20"/>
          <w:szCs w:val="20"/>
        </w:rPr>
        <w:t>CUPE’s Home Support Co-ordinating Committee Chair Heather Croft was also pleased</w:t>
      </w:r>
      <w:r w:rsidR="002D2464">
        <w:rPr>
          <w:sz w:val="20"/>
          <w:szCs w:val="20"/>
        </w:rPr>
        <w:t xml:space="preserve"> with the outcome of the meeting, saying: “This is a long time coming</w:t>
      </w:r>
      <w:r w:rsidR="00012069">
        <w:rPr>
          <w:sz w:val="20"/>
          <w:szCs w:val="20"/>
        </w:rPr>
        <w:t>. W</w:t>
      </w:r>
      <w:r w:rsidR="001E3F0A">
        <w:rPr>
          <w:sz w:val="20"/>
          <w:szCs w:val="20"/>
        </w:rPr>
        <w:t xml:space="preserve">e are </w:t>
      </w:r>
      <w:r w:rsidR="00EF38E0">
        <w:rPr>
          <w:sz w:val="20"/>
          <w:szCs w:val="20"/>
        </w:rPr>
        <w:t xml:space="preserve">cautiously </w:t>
      </w:r>
      <w:r w:rsidR="001E3F0A">
        <w:rPr>
          <w:sz w:val="20"/>
          <w:szCs w:val="20"/>
        </w:rPr>
        <w:t>optimistic</w:t>
      </w:r>
      <w:r w:rsidR="002D2464">
        <w:rPr>
          <w:sz w:val="20"/>
          <w:szCs w:val="20"/>
        </w:rPr>
        <w:t xml:space="preserve"> </w:t>
      </w:r>
      <w:r w:rsidR="001E3F0A">
        <w:rPr>
          <w:sz w:val="20"/>
          <w:szCs w:val="20"/>
        </w:rPr>
        <w:t xml:space="preserve">about </w:t>
      </w:r>
      <w:r w:rsidR="002D2464">
        <w:rPr>
          <w:sz w:val="20"/>
          <w:szCs w:val="20"/>
        </w:rPr>
        <w:t>this potential collaboration.”</w:t>
      </w:r>
      <w:r>
        <w:rPr>
          <w:sz w:val="20"/>
          <w:szCs w:val="20"/>
        </w:rPr>
        <w:t xml:space="preserve"> </w:t>
      </w:r>
    </w:p>
    <w:p w14:paraId="3BD88BC0" w14:textId="77777777" w:rsidR="0093114B" w:rsidRPr="0093114B" w:rsidRDefault="0093114B" w:rsidP="0093114B">
      <w:pPr>
        <w:rPr>
          <w:sz w:val="20"/>
          <w:szCs w:val="20"/>
        </w:rPr>
      </w:pPr>
    </w:p>
    <w:p w14:paraId="7D7612D2" w14:textId="77777777" w:rsidR="0093114B" w:rsidRPr="0093114B" w:rsidRDefault="0093114B" w:rsidP="0093114B">
      <w:pPr>
        <w:rPr>
          <w:sz w:val="20"/>
          <w:szCs w:val="20"/>
        </w:rPr>
      </w:pPr>
      <w:r w:rsidRPr="0093114B">
        <w:rPr>
          <w:sz w:val="20"/>
          <w:szCs w:val="20"/>
        </w:rPr>
        <w:t>CUPE represents 19,000 public sector workers in Nova Scotia and has members at most of the province’s long term care facilities.</w:t>
      </w:r>
    </w:p>
    <w:p w14:paraId="7D071673" w14:textId="5526D6D4" w:rsidR="00485DEE" w:rsidRPr="009E3951" w:rsidRDefault="00466FFA" w:rsidP="00E5056E">
      <w:pPr>
        <w:rPr>
          <w:rFonts w:eastAsia="Arial Unicode MS" w:cs="Arial"/>
          <w:sz w:val="20"/>
          <w:szCs w:val="20"/>
        </w:rPr>
      </w:pPr>
      <w:r>
        <w:rPr>
          <w:rFonts w:eastAsia="Arial Unicode MS" w:cs="Arial"/>
          <w:sz w:val="20"/>
          <w:szCs w:val="20"/>
        </w:rPr>
        <w:t xml:space="preserve"> </w:t>
      </w:r>
    </w:p>
    <w:p w14:paraId="2126F797" w14:textId="77777777" w:rsidR="00E5056E" w:rsidRDefault="00E5056E" w:rsidP="00E5056E">
      <w:pPr>
        <w:rPr>
          <w:rFonts w:eastAsia="Arial Unicode MS" w:cs="Arial"/>
          <w:sz w:val="20"/>
          <w:szCs w:val="20"/>
        </w:rPr>
      </w:pPr>
      <w:r>
        <w:rPr>
          <w:rFonts w:eastAsia="Arial Unicode MS" w:cs="Arial"/>
          <w:sz w:val="20"/>
          <w:szCs w:val="20"/>
        </w:rPr>
        <w:t>– 30 –</w:t>
      </w:r>
    </w:p>
    <w:p w14:paraId="6EF513C0" w14:textId="77777777" w:rsidR="00E5056E" w:rsidRDefault="00E5056E" w:rsidP="00E5056E">
      <w:pPr>
        <w:rPr>
          <w:rFonts w:eastAsia="Arial Unicode MS" w:cs="Arial"/>
          <w:sz w:val="20"/>
          <w:szCs w:val="20"/>
        </w:rPr>
      </w:pPr>
    </w:p>
    <w:p w14:paraId="4B0399EC" w14:textId="77777777" w:rsidR="00E5056E" w:rsidRPr="00E5056E" w:rsidRDefault="00E5056E" w:rsidP="00E5056E">
      <w:pPr>
        <w:rPr>
          <w:rFonts w:eastAsia="Arial Unicode MS" w:cs="Arial"/>
          <w:b/>
          <w:sz w:val="20"/>
          <w:szCs w:val="20"/>
        </w:rPr>
      </w:pPr>
      <w:r w:rsidRPr="00E5056E">
        <w:rPr>
          <w:rFonts w:eastAsia="Arial Unicode MS" w:cs="Arial"/>
          <w:b/>
          <w:sz w:val="20"/>
          <w:szCs w:val="20"/>
        </w:rPr>
        <w:t>For more information, please contact:</w:t>
      </w:r>
    </w:p>
    <w:p w14:paraId="2E146E3E" w14:textId="77777777" w:rsidR="00A746F5" w:rsidRDefault="00A746F5" w:rsidP="00E5056E">
      <w:pPr>
        <w:rPr>
          <w:rFonts w:eastAsia="Arial Unicode MS" w:cs="Arial"/>
          <w:sz w:val="20"/>
          <w:szCs w:val="20"/>
        </w:rPr>
        <w:sectPr w:rsidR="00A746F5" w:rsidSect="00CC1274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20912C1" w14:textId="77777777" w:rsidR="00E5056E" w:rsidRDefault="00E5056E" w:rsidP="00E5056E">
      <w:pPr>
        <w:rPr>
          <w:rFonts w:eastAsia="Arial Unicode MS" w:cs="Arial"/>
          <w:sz w:val="20"/>
          <w:szCs w:val="20"/>
        </w:rPr>
      </w:pPr>
    </w:p>
    <w:p w14:paraId="5D1C000C" w14:textId="37DDB438" w:rsidR="004F7279" w:rsidRDefault="00230AFF" w:rsidP="00E5056E">
      <w:pPr>
        <w:rPr>
          <w:rFonts w:eastAsia="Arial Unicode MS" w:cs="Arial"/>
          <w:sz w:val="20"/>
          <w:szCs w:val="20"/>
        </w:rPr>
      </w:pPr>
      <w:r>
        <w:rPr>
          <w:rFonts w:eastAsia="Arial Unicode MS" w:cs="Arial"/>
          <w:sz w:val="20"/>
          <w:szCs w:val="20"/>
        </w:rPr>
        <w:t>Nan McFadgen</w:t>
      </w:r>
    </w:p>
    <w:p w14:paraId="46A15F9C" w14:textId="7179C549" w:rsidR="00230AFF" w:rsidRDefault="00230AFF" w:rsidP="00E5056E">
      <w:pPr>
        <w:rPr>
          <w:rFonts w:eastAsia="Arial Unicode MS" w:cs="Arial"/>
          <w:sz w:val="20"/>
          <w:szCs w:val="20"/>
        </w:rPr>
      </w:pPr>
      <w:r>
        <w:rPr>
          <w:rFonts w:eastAsia="Arial Unicode MS" w:cs="Arial"/>
          <w:sz w:val="20"/>
          <w:szCs w:val="20"/>
        </w:rPr>
        <w:t>CUPE NS President</w:t>
      </w:r>
    </w:p>
    <w:p w14:paraId="35C8B807" w14:textId="0033BF67" w:rsidR="00E5056E" w:rsidRDefault="00230AFF" w:rsidP="00E5056E">
      <w:pPr>
        <w:rPr>
          <w:rFonts w:eastAsia="Arial Unicode MS" w:cs="Arial"/>
          <w:sz w:val="20"/>
          <w:szCs w:val="20"/>
        </w:rPr>
      </w:pPr>
      <w:r>
        <w:rPr>
          <w:rFonts w:eastAsia="Arial Unicode MS" w:cs="Arial"/>
          <w:sz w:val="20"/>
          <w:szCs w:val="20"/>
        </w:rPr>
        <w:lastRenderedPageBreak/>
        <w:t>(902)</w:t>
      </w:r>
      <w:r w:rsidR="00034000">
        <w:rPr>
          <w:rFonts w:eastAsia="Arial Unicode MS" w:cs="Arial"/>
          <w:sz w:val="20"/>
          <w:szCs w:val="20"/>
        </w:rPr>
        <w:t xml:space="preserve"> 759-3231</w:t>
      </w:r>
    </w:p>
    <w:p w14:paraId="60D61F02" w14:textId="77777777" w:rsidR="00A746F5" w:rsidRDefault="00A746F5" w:rsidP="00E5056E">
      <w:pPr>
        <w:rPr>
          <w:rFonts w:eastAsia="Arial Unicode MS" w:cs="Arial"/>
          <w:sz w:val="20"/>
          <w:szCs w:val="20"/>
        </w:rPr>
      </w:pPr>
    </w:p>
    <w:p w14:paraId="7048C7BF" w14:textId="5DC18424" w:rsidR="00E5056E" w:rsidRDefault="00230AFF" w:rsidP="00E5056E">
      <w:pPr>
        <w:rPr>
          <w:rFonts w:eastAsia="Arial Unicode MS" w:cs="Arial"/>
          <w:sz w:val="20"/>
          <w:szCs w:val="20"/>
        </w:rPr>
      </w:pPr>
      <w:r>
        <w:rPr>
          <w:rFonts w:eastAsia="Arial Unicode MS" w:cs="Arial"/>
          <w:sz w:val="20"/>
          <w:szCs w:val="20"/>
        </w:rPr>
        <w:t>Gaëlle McNeil</w:t>
      </w:r>
    </w:p>
    <w:p w14:paraId="0100163B" w14:textId="509C9633" w:rsidR="00E5056E" w:rsidRDefault="004F7279" w:rsidP="00E5056E">
      <w:pPr>
        <w:rPr>
          <w:rFonts w:eastAsia="Arial Unicode MS" w:cs="Arial"/>
          <w:sz w:val="20"/>
          <w:szCs w:val="20"/>
        </w:rPr>
      </w:pPr>
      <w:r>
        <w:rPr>
          <w:rFonts w:eastAsia="Arial Unicode MS" w:cs="Arial"/>
          <w:sz w:val="20"/>
          <w:szCs w:val="20"/>
        </w:rPr>
        <w:lastRenderedPageBreak/>
        <w:t>CUPE Atlantic Communications</w:t>
      </w:r>
    </w:p>
    <w:p w14:paraId="6D5232E2" w14:textId="0576E70A" w:rsidR="00230AFF" w:rsidRPr="00E5056E" w:rsidRDefault="00230AFF" w:rsidP="00E5056E">
      <w:pPr>
        <w:rPr>
          <w:rFonts w:eastAsia="Arial Unicode MS" w:cs="Arial"/>
          <w:sz w:val="20"/>
          <w:szCs w:val="20"/>
        </w:rPr>
      </w:pPr>
      <w:r>
        <w:rPr>
          <w:rFonts w:eastAsia="Arial Unicode MS" w:cs="Arial"/>
          <w:sz w:val="20"/>
          <w:szCs w:val="20"/>
        </w:rPr>
        <w:t>902-471-8923</w:t>
      </w:r>
    </w:p>
    <w:sectPr w:rsidR="00230AFF" w:rsidRPr="00E5056E" w:rsidSect="00A746F5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charset w:val="00"/>
    <w:family w:val="auto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60"/>
    <w:rsid w:val="00012069"/>
    <w:rsid w:val="00034000"/>
    <w:rsid w:val="00062C5D"/>
    <w:rsid w:val="000746F7"/>
    <w:rsid w:val="0013765F"/>
    <w:rsid w:val="00176E6D"/>
    <w:rsid w:val="0018343C"/>
    <w:rsid w:val="001B1032"/>
    <w:rsid w:val="001E3F0A"/>
    <w:rsid w:val="00230AFF"/>
    <w:rsid w:val="002D2464"/>
    <w:rsid w:val="00317B74"/>
    <w:rsid w:val="00327FEF"/>
    <w:rsid w:val="00343C6B"/>
    <w:rsid w:val="00347882"/>
    <w:rsid w:val="003B2930"/>
    <w:rsid w:val="003E229D"/>
    <w:rsid w:val="00466FFA"/>
    <w:rsid w:val="00485DEE"/>
    <w:rsid w:val="004A7021"/>
    <w:rsid w:val="004F7279"/>
    <w:rsid w:val="005808B3"/>
    <w:rsid w:val="005F5BFB"/>
    <w:rsid w:val="00624CEF"/>
    <w:rsid w:val="006319B9"/>
    <w:rsid w:val="006A1DBE"/>
    <w:rsid w:val="006A1EF5"/>
    <w:rsid w:val="006D6A79"/>
    <w:rsid w:val="007734E2"/>
    <w:rsid w:val="00796676"/>
    <w:rsid w:val="0084249A"/>
    <w:rsid w:val="00851660"/>
    <w:rsid w:val="00874BFB"/>
    <w:rsid w:val="008A61A8"/>
    <w:rsid w:val="008B5944"/>
    <w:rsid w:val="00905259"/>
    <w:rsid w:val="0093114B"/>
    <w:rsid w:val="00956644"/>
    <w:rsid w:val="009E3951"/>
    <w:rsid w:val="00A63B93"/>
    <w:rsid w:val="00A746F5"/>
    <w:rsid w:val="00B05E36"/>
    <w:rsid w:val="00B35CC3"/>
    <w:rsid w:val="00B70D1A"/>
    <w:rsid w:val="00B85B03"/>
    <w:rsid w:val="00B95ADD"/>
    <w:rsid w:val="00C0321A"/>
    <w:rsid w:val="00C07BD7"/>
    <w:rsid w:val="00C60C43"/>
    <w:rsid w:val="00C84B14"/>
    <w:rsid w:val="00CC1274"/>
    <w:rsid w:val="00CF4280"/>
    <w:rsid w:val="00DD1B8A"/>
    <w:rsid w:val="00E37169"/>
    <w:rsid w:val="00E41BC2"/>
    <w:rsid w:val="00E5056E"/>
    <w:rsid w:val="00EF38E0"/>
    <w:rsid w:val="00EF5B0C"/>
    <w:rsid w:val="00F01B74"/>
    <w:rsid w:val="00F5206F"/>
    <w:rsid w:val="00F9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7AD6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Bodytext"/>
    <w:qFormat/>
    <w:rsid w:val="00851660"/>
    <w:rPr>
      <w:rFonts w:ascii="Arial" w:eastAsia="Times New Roman" w:hAnsi="Arial" w:cs="Times New Roman"/>
      <w:lang w:val="en-CA"/>
    </w:rPr>
  </w:style>
  <w:style w:type="paragraph" w:styleId="Heading2">
    <w:name w:val="heading 2"/>
    <w:basedOn w:val="Normal"/>
    <w:next w:val="Normal"/>
    <w:link w:val="Heading2Char"/>
    <w:qFormat/>
    <w:rsid w:val="00851660"/>
    <w:pPr>
      <w:keepNext/>
      <w:jc w:val="center"/>
      <w:outlineLvl w:val="1"/>
    </w:pPr>
    <w:rPr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51660"/>
    <w:rPr>
      <w:rFonts w:ascii="Arial" w:eastAsia="Times New Roman" w:hAnsi="Arial" w:cs="Times New Roman"/>
      <w:b/>
      <w:sz w:val="28"/>
      <w:lang w:val="en-GB"/>
    </w:rPr>
  </w:style>
  <w:style w:type="paragraph" w:styleId="Header">
    <w:name w:val="header"/>
    <w:basedOn w:val="Normal"/>
    <w:link w:val="HeaderChar"/>
    <w:rsid w:val="008516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51660"/>
    <w:rPr>
      <w:rFonts w:ascii="Arial" w:eastAsia="Times New Roman" w:hAnsi="Arial" w:cs="Times New Roman"/>
      <w:lang w:val="en-CA"/>
    </w:rPr>
  </w:style>
  <w:style w:type="paragraph" w:styleId="NormalWeb">
    <w:name w:val="Normal (Web)"/>
    <w:basedOn w:val="Normal"/>
    <w:uiPriority w:val="99"/>
    <w:rsid w:val="0085166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basedOn w:val="DefaultParagraphFont"/>
    <w:uiPriority w:val="22"/>
    <w:qFormat/>
    <w:rsid w:val="00851660"/>
    <w:rPr>
      <w:b/>
      <w:bCs/>
    </w:rPr>
  </w:style>
  <w:style w:type="character" w:styleId="Hyperlink">
    <w:name w:val="Hyperlink"/>
    <w:uiPriority w:val="99"/>
    <w:unhideWhenUsed/>
    <w:rsid w:val="00851660"/>
    <w:rPr>
      <w:color w:val="0000FF"/>
      <w:u w:val="single"/>
    </w:rPr>
  </w:style>
  <w:style w:type="table" w:styleId="TableGrid">
    <w:name w:val="Table Grid"/>
    <w:basedOn w:val="TableNormal"/>
    <w:uiPriority w:val="59"/>
    <w:rsid w:val="00851660"/>
    <w:rPr>
      <w:rFonts w:ascii="Calibri" w:eastAsia="Calibri" w:hAnsi="Calibri" w:cs="Times New Roman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361</Words>
  <Characters>2063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Reynolds</dc:creator>
  <cp:keywords/>
  <dc:description/>
  <cp:lastModifiedBy>Gail McNeil</cp:lastModifiedBy>
  <cp:revision>7</cp:revision>
  <dcterms:created xsi:type="dcterms:W3CDTF">2018-06-27T15:23:00Z</dcterms:created>
  <dcterms:modified xsi:type="dcterms:W3CDTF">2018-06-27T18:11:00Z</dcterms:modified>
</cp:coreProperties>
</file>